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5f142a174ff4da1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37822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KRAPINSKO-ZAGORSKA ŽUPANIJA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VI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17.242.096,50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28.401.524,05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164,7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16.133.515,24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18.676.045,62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1.108.581,26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9.725.478,43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877,3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14.036,00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2.835.235,08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7.319.230,69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258,2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2.821.199,08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7.319.230,69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259,4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70.477,73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5.113,44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918.059,03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292.768,70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PRIMITAKA OD FINANCIJSKE IMOVINE I ZADUŽIVANJA (šifre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847.581,30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287.655,26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33,9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2.118.592,48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tekućem razdoblju prihodi poslovanja povećani su za 64,7% ponajviše zbog uplaćenih prihoda po ZNS-ovima za kapitalne projekte u sklopu NPOO-a. Rashodi poslovanja povećani su za 15,8%, a najveći dio povećanja odnosi se na konto 367 i prijenose proračunskim korisnicima zbog ulaska u punu riznicu i promjene metodologije knjiženja. Rashodi za nabavu nefinancijske imovine povećani su za 158,2% zbog velikih kapitalnih ulaganja po projektima u sklopu NPOO-a. U prethodnom razdoblju evidentirani su prihodi od prodaje nefinancijske imovine (prodaja službenih automobila), dok u tekućem razdoblju nisu ostvareni prihodi s navedene osnove. Manjak prihoda od financijske imovine nastao je uslijed otplate primljenih kredita i zajmova. Višak prihoda i primitaka u tekućem razdoblju ostvaren je u iznosu 2.118.592,48 eura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Stalni porezi na nepokretnu imovinu (zemlju, zgrade, kuće i ostalo)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66.777,09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&gt;&gt;100</w:t>
            </w:r>
          </w:p>
        </w:tc>
      </w:tr>
    </w:tbl>
    <w:p>
      <w:pPr>
        <w:spacing w:before="0" w:after="0"/>
      </w:pPr>
    </w:p>
    <w:p>
      <w:r>
        <w:t xml:space="preserve">Zakonska obveza plaćanja poreza na nekretnine stupila je na snagu 1.6.2025. pa je zbog toga realizacija u tekućem razdoblju značajno porasla.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od institucija i tijela EU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45.513,74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Odnosi se na uplatu za projekt Arcadia.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990.456,44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tekućem razdoblju evidentirani prihodi za sanaciju pregradnih stijena OŠ Kumrovec, sredstva za sportsku dvoranu PŠ Dubrovčan, sanaciju sanitarija u OŠ Mače, energetsku obnovu OŠ Budinšćina i SŠ Zlatar te igralište OŠ Đurmanec.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temeljem prijenosa EU sredstava (šifre 6381+6382)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602.251,71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6.710.931,39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1114,3</w:t>
            </w:r>
          </w:p>
        </w:tc>
      </w:tr>
    </w:tbl>
    <w:p>
      <w:pPr>
        <w:spacing w:before="0" w:after="0"/>
      </w:pPr>
    </w:p>
    <w:p>
      <w:r>
        <w:t xml:space="preserve">Značajno povećanje u tekućem razdoblju zbog primljenih uplata po ZNS-ovima za projekte Baltazar 8 i obnovu dvorca Stubički Golubovec te kapitalne projekte u sklopu NPOO-a: izgradnja zgrade Centra za odgoj i obrazovanje Krapinske Toplice te rekonstrukcija i dogradnja OŠ Zlatar i male dvorane, OŠ Belec, OŠ Krapinske Toplice, OŠ Brestovec Orehovički, sportske dvorane Dubrovčan, OŠ Hum na Sutli, PŠ Mirkovec, OŠ Zlatar Bistrica i OŠ Oroslavje.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Prijenosi između proračunskih korisnika istog proračuna (šifre 6391 do 6394)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211.251,06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2.578.653,42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1220,7</w:t>
            </w:r>
          </w:p>
        </w:tc>
      </w:tr>
    </w:tbl>
    <w:p>
      <w:pPr>
        <w:spacing w:before="0" w:after="0"/>
      </w:pPr>
    </w:p>
    <w:p>
      <w:r>
        <w:t xml:space="preserve">Odnosi se na povrat sredstava od SB Krapinske Toplice - predfinanciranje projekta u sklopu Fonda solidarnosti.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Troškovi sudskih postupaka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5.261,03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Odnosi se na troškove rada na službeničkom sudu i troškove upravnog spora.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1.512.477,77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242.886,85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16,1</w:t>
            </w:r>
          </w:p>
        </w:tc>
      </w:tr>
    </w:tbl>
    <w:p>
      <w:pPr>
        <w:spacing w:before="0" w:after="0"/>
      </w:pPr>
    </w:p>
    <w:p>
      <w:r>
        <w:t xml:space="preserve">Smanjenje u tekućem razdoblju jer su prethodne godine na navedenom kontu evidentirani rashodi za provođenje izbora.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Prijenosi proračunskim korisnicima iz nadležnog proračuna za financiranje redovne djelatnosti (šifre 3672 do 3674)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4.243.897,79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7.418.117,16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174,8</w:t>
            </w:r>
          </w:p>
        </w:tc>
      </w:tr>
    </w:tbl>
    <w:p>
      <w:pPr>
        <w:spacing w:before="0" w:after="0"/>
      </w:pPr>
    </w:p>
    <w:p>
      <w:r>
        <w:t xml:space="preserve">Povećanje u tekućem izvještajnom razdoblju zbog ulaska osnovnih i srednjih škola u punu riznicu te promjena u metodologiji knjiženja.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kazne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53.554,02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razdoblju prethodne godine plaćena ugovorna kazna.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Prijevozna sredstva u cestovnom prometu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14.036,00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prethodnom razdoblju ostvareni prihodi od prodaje službenih automobila.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Zemljište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92.700,00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tekućem razdoblju kupljena zemljišta za osiguravanje prostornih uvjeta za projekte izgradnje Centra za odgoj i obrazovanje Krapinske Toplice i rekonstrukcije i dogradnje OŠ Klanjec.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Licence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3.498,00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prethodnom razdoblju kupljena licenca za Adobe Acrobat.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Poslovni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313.296,39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1.756.587,62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560,7</w:t>
            </w:r>
          </w:p>
        </w:tc>
      </w:tr>
    </w:tbl>
    <w:p>
      <w:pPr>
        <w:spacing w:before="0" w:after="0"/>
      </w:pPr>
    </w:p>
    <w:p>
      <w:r>
        <w:t xml:space="preserve">Značajno povećanje u tekućem razdoblju zbog izgradnje nove zgrade Centra za odgoj i obrazovanje Krapinske Toplice u sklopu NPOO-a.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41.770,12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419,19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1,0</w:t>
            </w:r>
          </w:p>
        </w:tc>
      </w:tr>
    </w:tbl>
    <w:p>
      <w:pPr>
        <w:spacing w:before="0" w:after="0"/>
      </w:pPr>
    </w:p>
    <w:p>
      <w:r>
        <w:t xml:space="preserve">U prethodnom razdoblju nabavljena nova računalna oprema.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Instrumenti i uređaji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43.087,50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razdoblju prethodne godine nabavljen humanoidni robot.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53.278,48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5.842,90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11,0</w:t>
            </w:r>
          </w:p>
        </w:tc>
      </w:tr>
    </w:tbl>
    <w:p>
      <w:pPr>
        <w:spacing w:before="0" w:after="0"/>
      </w:pPr>
    </w:p>
    <w:p>
      <w:r>
        <w:t xml:space="preserve">U prethodnom razdoblju nabavljena nova oprema.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Ulaganja u računalne programe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18.750,00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prethodnom razdoblju nabavljene licence za aplikacije i module zbog prelaska u punu riznicu.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Dodatna ulaganja na građevinskim objektima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2.160.932,09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5.461.305,98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252,7</w:t>
            </w:r>
          </w:p>
        </w:tc>
      </w:tr>
    </w:tbl>
    <w:p>
      <w:pPr>
        <w:spacing w:before="0" w:after="0"/>
      </w:pPr>
    </w:p>
    <w:p>
      <w:r>
        <w:t xml:space="preserve">Značajno povećanje u tekućem razdoblju zbog kapitalnih projekata, radovi se odnose na rekonstrukciju i dogradnju OŠ Sv. Križ Začretje, OŠ Hum na Sutli, OŠ Belec, OŠ Krapinske Toplice, OŠ Brestovec Orehovički, OŠ Zlatar i mala školska sportska dvorana, OŠ Donja Stubica, školska sportska dvorana Dubrovčan, energetska obnova OŠ Budinščina i SŠ Zlatar te obnovu dvorca Stubički Golubovec, sanacija ulaza i vrata OŠ Kumrovec, cjelovita obnova OŠ Mihovljan, izrada PTD-a za Znanstveno edukacijski centar.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(povrati) glavnice zajmova danih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64.454,89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Odnosi se na Poduzetnički centar - Povrat sredstava iz lokalnog garantnog fonda.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dane zajmove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Odnosi se na Poduzetnički centar KZŽ - dodjela zajmova poduzetnicima početnicima po programu "Start zajam"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Otplata glavnice primljenih zajmova od državnog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5471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725.290,33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3,4</w:t>
            </w:r>
          </w:p>
        </w:tc>
      </w:tr>
    </w:tbl>
    <w:p>
      <w:pPr>
        <w:spacing w:before="0" w:after="0"/>
      </w:pPr>
    </w:p>
    <w:p>
      <w:r>
        <w:t xml:space="preserve">U razdoblju prethodne godine vraćen beskamatni zajam za sanaciju od potresa.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tekućem razdoblju nema evidentiranih dospjelih obveza.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Međusobne obveze subjekata općeg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1.949.527,05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Međusobne obveze subjekata općeg proračuna odnose se na primljena, a neutrošena sredstva proračunskih korisnika u punoj riznici (osnovne i srednje škole, JU Zagorje zeleno, Zavod za prostorno uređenje KZŽ, Zagorska razvojna agencija te Dom za žrtve nasilja u obitelji Novi početak) te obveze prema dobavljačima unutar općeg proračuna.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1.748.988,37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Nedospjele obveze za rashode poslovanja odnose se na plaću za lipanj 2026. u iznosu od 466.550,59 eura, obveze prema dobavljačima u iznosu od 327.978,41 euro te obveze za sanaciju odlagališta u iznosu od 954.459,37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474.526,39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Odnose se na obveze prema dobavljačima.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financijsku imovinu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 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5.315.334,38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Nedospjele obveze za financijsku imovinu odnose se na otplate glavnice primljenih kredita.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predujmove, depozite, jamčevne pologe i tuđe prihode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10.469.955,45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Odnose se na obveze za depozite za izvlaštenja nekretnina, obveze za jamčevine i tehničke preglede te obveze za EU predujmove.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rPr>
          <w:b/>
        </w:rPr>
        <w:t xml:space="preserve">EU IZVJEŠTAJ PO IZVORIMA FINANCIRANJA</w:t>
      </w:r>
    </w:p>
    <w:p>
      <w:pPr>
        <w:pStyle w:val="ListParagraph"/>
        <w:numPr>
          <w:ilvl w:val="0"/>
          <w:numId w:val="2"/>
        </w:numPr>
      </w:pPr>
      <w:r>
        <w:t xml:space="preserve">510 PROGRAMI UNIJE - odnosi se na projekte CROSS, Arcadia i ZEZ. Ostvareni prihodi odnose se na uplate po ZNS-ovima za projekt Arcadia i ZEZ. U rashodima su evidentirani troškovi plaće te administrativni troškovi po navedenim projektima.</w:t>
      </w:r>
    </w:p>
    <w:p>
      <w:r>
        <w:t xml:space="preserve"> </w:t>
      </w:r>
    </w:p>
    <w:p>
      <w:pPr>
        <w:pStyle w:val="ListParagraph"/>
        <w:numPr>
          <w:ilvl w:val="0"/>
          <w:numId w:val="3"/>
        </w:numPr>
      </w:pPr>
      <w:r>
        <w:t xml:space="preserve">561 EUROPSKI SOCIJALNI FOND - odnosi se na projekt Baltazar 8 pomoćnici u nastavi. Ostvareni prihod odnosi se na uplatu po ZNS-u. Ostvareni rashodi odnose se na prijenose sredstava osnovnim školama Lj. Gaj i August Cesarec, kojima je osnivač Grad Krapina te prijenose sredstava osnovnim i srednjim školama iz nadležnog proračuna.</w:t>
      </w:r>
    </w:p>
    <w:p>
      <w:r>
        <w:t xml:space="preserve"> </w:t>
      </w:r>
    </w:p>
    <w:p>
      <w:pPr>
        <w:pStyle w:val="ListParagraph"/>
        <w:numPr>
          <w:ilvl w:val="0"/>
          <w:numId w:val="4"/>
        </w:numPr>
      </w:pPr>
      <w:r>
        <w:t xml:space="preserve">581 MEHANIZAMA ZA OPORAVAK I OTPORNOST - BESPOVRATNA SREDSTVA - Ostvareni prihodi odnose se na uplate po ZNS-ovima za projekte obnove dvorca Stubički Golubovec te kapitalne projekte u sklopu NPOO-a: izgradnja zgrade Centra za odgoj i obrazovanje Krapinske Toplice te rekonstrukcija i dogradnja OŠ Zlatar i male dvorane, OŠ Belec, OŠ Krapinske Toplice, OŠ Brestovec Orehovički, sportske dvorane Dubrovčan, OŠ Hum na Sutli, PŠ Mirkovec, OŠ Zlatar Bistrica i OŠ Oroslavje.  </w:t>
      </w:r>
    </w:p>
    <w:p/>
  </w:body>
</w:document>
</file>

<file path=word/numbering.xml><?xml version="1.0" encoding="utf-8"?>
<w:numbering xmlns:w="http://schemas.openxmlformats.org/wordprocessingml/2006/main">
  <w:abstractNum w:abstractNumId="1">
    <w:multiLevelType w:val="hybridMultilevel"/>
    <w:name w:val="dis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start w:val="1"/>
      <w:numFmt w:val="bullet"/>
      <w:lvlText w:val="•"/>
      <w:lvlJc w:val="left"/>
      <w:pPr>
        <w:ind w:left="3600" w:hanging="360"/>
      </w:pPr>
    </w:lvl>
    <w:lvl w:ilvl="5">
      <w:start w:val="1"/>
      <w:numFmt w:val="bullet"/>
      <w:lvlText w:val="•"/>
      <w:lvlJc w:val="left"/>
      <w:pPr>
        <w:ind w:left="4320" w:hanging="360"/>
      </w:pPr>
    </w:lvl>
    <w:lvl w:ilvl="6">
      <w:start w:val="1"/>
      <w:numFmt w:val="bullet"/>
      <w:lvlText w:val="•"/>
      <w:lvlJc w:val="left"/>
      <w:pPr>
        <w:ind w:left="5040" w:hanging="360"/>
      </w:pPr>
    </w:lvl>
    <w:lvl w:ilvl="7">
      <w:start w:val="1"/>
      <w:numFmt w:val="bullet"/>
      <w:lvlText w:val="•"/>
      <w:lvlJc w:val="left"/>
      <w:pPr>
        <w:ind w:left="5760" w:hanging="360"/>
      </w:pPr>
    </w:lvl>
    <w:lvl w:ilvl="8">
      <w:start w:val="1"/>
      <w:numFmt w:val="bullet"/>
      <w:lvlText w:val="•"/>
      <w:lvlJc w:val="left"/>
      <w:pPr>
        <w:ind w:left="6480" w:hanging="360"/>
      </w:pPr>
    </w:lvl>
  </w:abstract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  <w:style xmlns:w="http://schemas.openxmlformats.org/wordprocessingml/2006/main" w:type="paragraph" w:styleId="ListParagraph">
    <w:name w:val="List Paragraph"/>
    <w:next w:val="List Paragraph"/>
    <w:pPr>
      <w:keepNext w:val="0"/>
      <w:keepLines w:val="0"/>
      <w:spacing w:before="0" w:after="0" w:line="240" w:lineRule="auto"/>
      <w:ind w:start="720" w:end="0" w:firstLine="0"/>
      <w:contextualSpacing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46dbcc79263c480f" /><Relationship Type="http://schemas.openxmlformats.org/officeDocument/2006/relationships/numbering" Target="/word/numbering.xml" Id="R35196c17f0824657" /></Relationships>
</file>